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13A95315"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000C1C68" w:rsidRPr="000C1C68">
        <w:rPr>
          <w:color w:val="808080" w:themeColor="background1" w:themeShade="80"/>
          <w:sz w:val="32"/>
          <w:szCs w:val="32"/>
          <w:lang w:val="en-US"/>
        </w:rPr>
        <w:t>E07</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68372EFD"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257F6392" w14:textId="76F98719" w:rsidR="002C2402" w:rsidRDefault="002C2402" w:rsidP="00DC0C89">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cms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sobreexcavación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Bolldozer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subdrenes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sobreexcavaciones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sobreexcavaciones en zonas donde se emplacen fundaciones, se deberá rellenar con hormigón pobre o bien con relleno estructural descrito en este mismo documento. Los costos asociados a las sobreexcavaciones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sobreexcavaciones.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napa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r w:rsidRPr="00567850">
              <w:rPr>
                <w:rFonts w:cstheme="majorHAnsi"/>
              </w:rPr>
              <w:t>3”*</w:t>
            </w:r>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sobretamaño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cms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t>Dp: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mm. En el coronamiento del terraplén solo se aceptarán capas de 0,30 m y el tamaño máximo no será superior a 100 mm.</w:t>
      </w:r>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taludes de los terraplenes de plataforma tendrán una inclinación uniforme de 3:2 (H:V),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r w:rsidRPr="00596E59">
              <w:rPr>
                <w:rFonts w:cstheme="majorHAnsi"/>
              </w:rPr>
              <w:t>CBR(%)</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r w:rsidRPr="00596E59">
              <w:rPr>
                <w:rFonts w:cstheme="majorHAnsi"/>
                <w:lang w:val="es-CL"/>
              </w:rPr>
              <w:t xml:space="preserve">n.r: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r w:rsidRPr="00FE6C3B">
        <w:t xml:space="preserve">Contenido  mínimo de chancado del 50% </w:t>
      </w:r>
    </w:p>
    <w:p w14:paraId="08E41089" w14:textId="3D15EA9B" w:rsidR="00286EE5" w:rsidRPr="005E1B2F" w:rsidRDefault="00286EE5">
      <w:pPr>
        <w:pStyle w:val="Prrafodelista"/>
        <w:numPr>
          <w:ilvl w:val="0"/>
          <w:numId w:val="8"/>
        </w:numPr>
        <w:ind w:left="1854"/>
        <w:rPr>
          <w:lang w:val="en-US"/>
        </w:rPr>
      </w:pPr>
      <w:r w:rsidRPr="005E1B2F">
        <w:rPr>
          <w:lang w:val="en-US"/>
        </w:rPr>
        <w:t>Soporte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Los agregados gruesos, retenidos sobre tamiz 5 mm (Nº4), deben ser partículas resistentes, durables, constituidas por fragmentos de roca, grava o escoria. Materiales que se quiebren con los ciclos hielo -  deshielo y humedad -  sequedad no deben ser utilizados</w:t>
      </w:r>
    </w:p>
    <w:p w14:paraId="2B1B577D" w14:textId="77777777" w:rsidR="00286EE5" w:rsidRPr="00FE6C3B" w:rsidRDefault="00286EE5">
      <w:pPr>
        <w:pStyle w:val="Prrafodelista"/>
        <w:numPr>
          <w:ilvl w:val="0"/>
          <w:numId w:val="8"/>
        </w:numPr>
        <w:ind w:left="1854"/>
      </w:pPr>
      <w:r w:rsidRPr="00FE6C3B">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52F82635" w14:textId="77777777" w:rsidR="00286EE5" w:rsidRPr="005E1B2F" w:rsidRDefault="00286EE5">
      <w:pPr>
        <w:pStyle w:val="Prrafodelista"/>
        <w:numPr>
          <w:ilvl w:val="0"/>
          <w:numId w:val="8"/>
        </w:numPr>
        <w:ind w:left="1854"/>
        <w:rPr>
          <w:lang w:val="en-US"/>
        </w:rPr>
      </w:pPr>
      <w:r w:rsidRPr="005E1B2F">
        <w:rPr>
          <w:lang w:val="en-US"/>
        </w:rPr>
        <w:t>Límite Líquido máximo de 35</w:t>
      </w:r>
    </w:p>
    <w:p w14:paraId="14DEAA41" w14:textId="77777777" w:rsidR="00286EE5" w:rsidRPr="005E1B2F" w:rsidRDefault="00286EE5">
      <w:pPr>
        <w:pStyle w:val="Prrafodelista"/>
        <w:numPr>
          <w:ilvl w:val="0"/>
          <w:numId w:val="8"/>
        </w:numPr>
        <w:ind w:left="1854"/>
        <w:rPr>
          <w:lang w:val="en-US"/>
        </w:rPr>
      </w:pPr>
      <w:r w:rsidRPr="005E1B2F">
        <w:rPr>
          <w:lang w:val="en-US"/>
        </w:rPr>
        <w:t>Índice de Plasticidad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y terminarse con rodillos lisos o neumáticos. El rodillado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r w:rsidRPr="005E1B2F">
        <w:rPr>
          <w:lang w:val="en-US"/>
        </w:rPr>
        <w:t>NCh 1517/1: Determinación del límite líquido</w:t>
      </w:r>
    </w:p>
    <w:p w14:paraId="7EA54A0C" w14:textId="77777777" w:rsidR="00286EE5" w:rsidRPr="005E1B2F" w:rsidRDefault="00286EE5">
      <w:pPr>
        <w:pStyle w:val="Prrafodelista"/>
        <w:numPr>
          <w:ilvl w:val="0"/>
          <w:numId w:val="8"/>
        </w:numPr>
        <w:ind w:left="1854"/>
        <w:rPr>
          <w:lang w:val="en-US"/>
        </w:rPr>
      </w:pPr>
      <w:r w:rsidRPr="005E1B2F">
        <w:rPr>
          <w:lang w:val="en-US"/>
        </w:rPr>
        <w:lastRenderedPageBreak/>
        <w:t>NCh 1517/2: Determinación del límite plástico</w:t>
      </w:r>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NCh1534/2: Ensayo Proctor Modificado</w:t>
      </w:r>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NCh152: Densidad de Partículas Sólidas</w:t>
      </w:r>
    </w:p>
    <w:p w14:paraId="5B6CCA72" w14:textId="77777777" w:rsidR="00286EE5" w:rsidRPr="005E1B2F" w:rsidRDefault="00286EE5">
      <w:pPr>
        <w:pStyle w:val="Prrafodelista"/>
        <w:numPr>
          <w:ilvl w:val="0"/>
          <w:numId w:val="8"/>
        </w:numPr>
        <w:ind w:left="1854"/>
        <w:rPr>
          <w:lang w:val="en-US"/>
        </w:rPr>
      </w:pPr>
      <w:r w:rsidRPr="005E1B2F">
        <w:rPr>
          <w:lang w:val="en-US"/>
        </w:rPr>
        <w:t>ASTM D 4253: Densidad Máxima Seca</w:t>
      </w:r>
    </w:p>
    <w:p w14:paraId="779F5FDC" w14:textId="77777777" w:rsidR="00286EE5" w:rsidRPr="005E1B2F" w:rsidRDefault="00286EE5">
      <w:pPr>
        <w:pStyle w:val="Prrafodelista"/>
        <w:numPr>
          <w:ilvl w:val="0"/>
          <w:numId w:val="8"/>
        </w:numPr>
        <w:ind w:left="1854"/>
        <w:rPr>
          <w:lang w:val="en-US"/>
        </w:rPr>
      </w:pPr>
      <w:r w:rsidRPr="005E1B2F">
        <w:rPr>
          <w:lang w:val="en-US"/>
        </w:rPr>
        <w:t>ASTM D 4254: Densidad Mínima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MC volumen 8 8.502.1 Determinación de Densidad in-situ por Método Nuclear</w:t>
      </w:r>
    </w:p>
    <w:p w14:paraId="3E81429C" w14:textId="5F3C9C0A" w:rsidR="00286EE5" w:rsidRPr="0013778A" w:rsidRDefault="00286EE5">
      <w:pPr>
        <w:pStyle w:val="Prrafodelista"/>
        <w:numPr>
          <w:ilvl w:val="0"/>
          <w:numId w:val="8"/>
        </w:numPr>
        <w:ind w:left="1854"/>
      </w:pPr>
      <w:r w:rsidRPr="00FE6C3B">
        <w:t>MC volumen 8 8.502.2 Determinación de Humedad in-situ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recompactar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E6EF" w14:textId="77777777" w:rsidR="00490E7F" w:rsidRDefault="00490E7F" w:rsidP="00E6143D">
      <w:r>
        <w:separator/>
      </w:r>
    </w:p>
  </w:endnote>
  <w:endnote w:type="continuationSeparator" w:id="0">
    <w:p w14:paraId="75613BCC" w14:textId="77777777" w:rsidR="00490E7F" w:rsidRDefault="00490E7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B42D" w14:textId="77777777" w:rsidR="00490E7F" w:rsidRDefault="00490E7F" w:rsidP="00E6143D">
      <w:r>
        <w:separator/>
      </w:r>
    </w:p>
  </w:footnote>
  <w:footnote w:type="continuationSeparator" w:id="0">
    <w:p w14:paraId="4ACFA5ED" w14:textId="77777777" w:rsidR="00490E7F" w:rsidRDefault="00490E7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A31EE78" w:rsidR="005416C6" w:rsidRDefault="00281D7E" w:rsidP="00E6143D">
    <w:pPr>
      <w:pStyle w:val="Encabezado"/>
      <w:ind w:left="0"/>
    </w:pPr>
    <w:r>
      <w:rPr>
        <w:noProof/>
      </w:rPr>
      <w:drawing>
        <wp:inline distT="0" distB="0" distL="0" distR="0" wp14:anchorId="3EF7BE6A" wp14:editId="69B9AD94">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C1C68"/>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47B71"/>
    <w:rsid w:val="00853D14"/>
    <w:rsid w:val="00856DA5"/>
    <w:rsid w:val="0089433E"/>
    <w:rsid w:val="008C0FEF"/>
    <w:rsid w:val="008C238F"/>
    <w:rsid w:val="008D1BE6"/>
    <w:rsid w:val="008D1E26"/>
    <w:rsid w:val="008E2E6D"/>
    <w:rsid w:val="008E48EF"/>
    <w:rsid w:val="008E4C19"/>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15F74"/>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31828"/>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F2E20325-5112-43C5-9B4C-F92D98CF5656}"/>
</file>

<file path=customXml/itemProps3.xml><?xml version="1.0" encoding="utf-8"?>
<ds:datastoreItem xmlns:ds="http://schemas.openxmlformats.org/officeDocument/2006/customXml" ds:itemID="{B0B3779E-5574-4113-87CB-DDAA9D587834}">
  <ds:schemaRefs>
    <ds:schemaRef ds:uri="http://schemas.microsoft.com/sharepoint/v3/contenttype/forms"/>
  </ds:schemaRefs>
</ds:datastoreItem>
</file>

<file path=customXml/itemProps4.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5374</Words>
  <Characters>29561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24</cp:revision>
  <cp:lastPrinted>2019-01-10T17:32:00Z</cp:lastPrinted>
  <dcterms:created xsi:type="dcterms:W3CDTF">2021-10-16T02:10:00Z</dcterms:created>
  <dcterms:modified xsi:type="dcterms:W3CDTF">2025-02-12T12:29:00Z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